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>
          <w:u w:val="single"/>
        </w:rPr>
      </w:pPr>
      <w:r>
        <w:rPr>
          <w:u w:val="single"/>
        </w:rPr>
        <w:t>OBSAH DOKUMENTACE – základní struktura a stavební objekty:</w:t>
      </w:r>
    </w:p>
    <w:p>
      <w:pPr>
        <w:pStyle w:val="Normal1"/>
        <w:rPr>
          <w:u w:val="single"/>
        </w:rPr>
      </w:pPr>
      <w:r>
        <w:rPr>
          <w:u w:val="single"/>
        </w:rPr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A</w:t>
        <w:tab/>
        <w:tab/>
        <w:t>Průvodní zpráva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B</w:t>
        <w:tab/>
        <w:tab/>
        <w:t>Souhrnná technická zpráva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C</w:t>
        <w:tab/>
        <w:tab/>
        <w:t>Situační výkresy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13" w:after="119"/>
        <w:ind w:hanging="0" w:left="1701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C.1</w:t>
        <w:tab/>
        <w:t>Situace širších vztahů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13" w:after="119"/>
        <w:ind w:hanging="0" w:left="1701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C.2</w:t>
        <w:tab/>
        <w:t>Situace katastrální</w:t>
      </w:r>
    </w:p>
    <w:p>
      <w:pPr>
        <w:pStyle w:val="Normal1"/>
        <w:keepNext w:val="false"/>
        <w:keepLines w:val="false"/>
        <w:widowControl w:val="false"/>
        <w:shd w:val="clear" w:fill="auto"/>
        <w:spacing w:lineRule="auto" w:line="240" w:before="113" w:after="119"/>
        <w:ind w:hanging="0" w:left="1701" w:right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6"/>
          <w:sz w:val="16"/>
          <w:szCs w:val="16"/>
          <w:u w:val="none"/>
          <w:shd w:fill="auto" w:val="clear"/>
          <w:vertAlign w:val="baseline"/>
        </w:rPr>
        <w:t>C.3</w:t>
        <w:tab/>
        <w:t>Situace koordinační</w:t>
      </w:r>
    </w:p>
    <w:p>
      <w:pPr>
        <w:pStyle w:val="Normal1"/>
        <w:keepNext w:val="false"/>
        <w:keepLines w:val="false"/>
        <w:pageBreakBefore w:val="false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</w:t>
        <w:tab/>
        <w:tab/>
        <w:t>Dokumentace objektů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>D.1</w:t>
        <w:tab/>
        <w:t>Stavební a technologická část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>D.1.1</w:t>
        <w:tab/>
        <w:t>Architektonicko – stavební řešení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</w: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D.1.1.1</w:t>
        <w:tab/>
        <w:t>Technická zpráva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>D.1.1.2</w:t>
        <w:tab/>
        <w:t>Výkresová část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D.1.1.2.1 Charakteristické půdorysy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</w: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D.1.1.2.00 – Půdorys celkový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D.1.1.2.10 - Půdorys základů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D.1.1.2.11 – Půdorys 1MP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D.1.1.2.12 – Půdorys střechy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</w:r>
      <w:r>
        <w:rPr>
          <w:rFonts w:eastAsia="Arial" w:cs="Arial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D.1.1.2.2 Charakteristické řezy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D.1.1.2.20 – Řez AA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D.1.1.2.21 – Řez BB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</w:r>
      <w:r>
        <w:rPr>
          <w:rFonts w:eastAsia="Arial" w:cs="Arial"/>
          <w:b/>
          <w:bCs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D.1.1.2.3 Základní pohledy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ab/>
        <w:tab/>
        <w:t>D.1.1.2.30 - Pohledy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/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>D.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2</w:t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  <w:t>Základní stavebně konstrukční řešení</w:t>
      </w:r>
    </w:p>
    <w:p>
      <w:pPr>
        <w:pStyle w:val="Normal1"/>
        <w:widowControl w:val="false"/>
        <w:shd w:val="clear" w:fill="auto"/>
        <w:spacing w:lineRule="auto" w:line="240" w:before="113" w:after="119"/>
        <w:ind w:hanging="0" w:left="0" w:right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ab/>
      </w:r>
      <w:r>
        <w:rPr>
          <w:rFonts w:eastAsia="Arial" w:cs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  <w:t>D.3</w:t>
        <w:tab/>
        <w:t>Požárně bezpečnostní řešení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1418" w:gutter="0" w:header="0" w:top="1217" w:footer="957" w:bottom="142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swiss"/>
    <w:pitch w:val="variable"/>
  </w:font>
  <w:font w:name="Botanika 7-Bold"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120"/>
      <w:ind w:hanging="0" w:left="0" w:right="0"/>
      <w:jc w:val="left"/>
      <w:rPr>
        <w:rFonts w:ascii="Arial" w:hAnsi="Arial" w:eastAsia="Arial" w:cs="Arial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Arial" w:cs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Str.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Arial" w:cs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shd w:val="clear" w:fill="auto"/>
      <w:tabs>
        <w:tab w:val="clear" w:pos="720"/>
        <w:tab w:val="center" w:pos="4536" w:leader="none"/>
        <w:tab w:val="right" w:pos="9072" w:leader="none"/>
      </w:tabs>
      <w:spacing w:lineRule="auto" w:line="240" w:before="0" w:after="120"/>
      <w:ind w:hanging="0" w:left="0" w:right="0"/>
      <w:jc w:val="left"/>
      <w:rPr>
        <w:rFonts w:ascii="Arial" w:hAnsi="Arial" w:eastAsia="Arial" w:cs="Arial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Arial" w:cs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Str.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Arial" w:cs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40" w:before="0" w:after="120"/>
      <w:jc w:val="left"/>
    </w:pPr>
    <w:rPr>
      <w:rFonts w:ascii="Arial" w:hAnsi="Arial" w:eastAsia="Arial" w:cs="Arial"/>
      <w:color w:val="auto"/>
      <w:kern w:val="0"/>
      <w:sz w:val="24"/>
      <w:szCs w:val="24"/>
      <w:lang w:val="cs-CZ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ind w:hanging="432" w:left="432"/>
      <w:jc w:val="center"/>
    </w:pPr>
    <w:rPr>
      <w:b/>
      <w:smallCaps/>
      <w:sz w:val="28"/>
      <w:szCs w:val="28"/>
    </w:rPr>
  </w:style>
  <w:style w:type="paragraph" w:styleId="Heading2">
    <w:name w:val="Heading 2"/>
    <w:basedOn w:val="Normal1"/>
    <w:next w:val="Normal1"/>
    <w:qFormat/>
    <w:pPr>
      <w:keepNext w:val="true"/>
      <w:spacing w:lineRule="auto" w:line="240" w:before="120" w:after="120"/>
      <w:ind w:hanging="576" w:left="576"/>
    </w:pPr>
    <w:rPr>
      <w:b/>
      <w:i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ind w:hanging="720" w:left="720"/>
    </w:pPr>
    <w:rPr>
      <w:rFonts w:ascii="Arial Narrow" w:hAnsi="Arial Narrow" w:eastAsia="Arial Narrow" w:cs="Arial Narrow"/>
      <w:b/>
      <w:color w:val="008000"/>
      <w:sz w:val="20"/>
      <w:szCs w:val="20"/>
    </w:rPr>
  </w:style>
  <w:style w:type="paragraph" w:styleId="Heading4">
    <w:name w:val="Heading 4"/>
    <w:basedOn w:val="Normal1"/>
    <w:next w:val="Normal1"/>
    <w:qFormat/>
    <w:pPr>
      <w:keepNext w:val="true"/>
      <w:spacing w:lineRule="auto" w:line="240" w:before="240" w:after="120"/>
      <w:ind w:hanging="0" w:left="1077" w:right="0"/>
    </w:pPr>
    <w:rPr>
      <w:rFonts w:ascii="Botanika 7-Bold" w:hAnsi="Botanika 7-Bold" w:eastAsia="Botanika 7-Bold" w:cs="Botanika 7-Bold"/>
      <w:b/>
      <w:i w:val="false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 w:default="1">
    <w:name w:val="normal1"/>
    <w:qFormat/>
    <w:pPr>
      <w:widowControl/>
      <w:suppressAutoHyphens w:val="true"/>
      <w:bidi w:val="0"/>
      <w:spacing w:lineRule="auto" w:line="240" w:before="0" w:after="120"/>
      <w:jc w:val="left"/>
    </w:pPr>
    <w:rPr>
      <w:rFonts w:ascii="Arial" w:hAnsi="Arial" w:eastAsia="Arial" w:cs="Arial"/>
      <w:color w:val="auto"/>
      <w:kern w:val="0"/>
      <w:sz w:val="24"/>
      <w:szCs w:val="24"/>
      <w:lang w:val="cs-CZ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HeaderandFooter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LibreOffice/7.6.4.1$Windows_X86_64 LibreOffice_project/e19e193f88cd6c0525a17fb7a176ed8e6a3e2aa1</Application>
  <AppVersion>15.0000</AppVersion>
  <Pages>1</Pages>
  <Words>93</Words>
  <Characters>608</Characters>
  <CharactersWithSpaces>725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cs-CZ</dc:language>
  <cp:lastModifiedBy>Radim Tkadlec</cp:lastModifiedBy>
  <dcterms:modified xsi:type="dcterms:W3CDTF">2025-07-10T12:27:33Z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lpwstr>false</vt:lpwstr>
  </property>
  <property fmtid="{D5CDD505-2E9C-101B-9397-08002B2CF9AE}" pid="3" name="LinksUpToDate">
    <vt:lpwstr>false</vt:lpwstr>
  </property>
  <property fmtid="{D5CDD505-2E9C-101B-9397-08002B2CF9AE}" pid="4" name="ScaleCrop">
    <vt:lpwstr>false</vt:lpwstr>
  </property>
  <property fmtid="{D5CDD505-2E9C-101B-9397-08002B2CF9AE}" pid="5" name="ShareDoc">
    <vt:lpwstr>false</vt:lpwstr>
  </property>
</Properties>
</file>